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1E5" w:rsidRPr="00BF1F34" w:rsidRDefault="00BA11E5" w:rsidP="00BA11E5">
      <w:pPr>
        <w:rPr>
          <w:rFonts w:ascii="Times New Roman" w:hAnsi="Times New Roman" w:cs="Times New Roman"/>
          <w:sz w:val="28"/>
          <w:szCs w:val="28"/>
        </w:rPr>
      </w:pPr>
      <w:proofErr w:type="gramStart"/>
      <w:r w:rsidRPr="00BF1F34">
        <w:rPr>
          <w:rFonts w:ascii="Times New Roman" w:hAnsi="Times New Roman" w:cs="Times New Roman"/>
          <w:sz w:val="28"/>
          <w:szCs w:val="28"/>
        </w:rPr>
        <w:t>Тестирование проводится по годам обучения: для приема в 1 класс в устной форме, для приема во 2 -11 классы – в устной и письменной формах с использованием диагностических материалов, разработанных Рособрнадзором с учетом уровня знания русского языка.</w:t>
      </w:r>
      <w:proofErr w:type="gramEnd"/>
      <w:r w:rsidRPr="00BF1F34">
        <w:rPr>
          <w:rFonts w:ascii="Times New Roman" w:hAnsi="Times New Roman" w:cs="Times New Roman"/>
          <w:sz w:val="28"/>
          <w:szCs w:val="28"/>
        </w:rPr>
        <w:t xml:space="preserve"> Продолжительность тестирования – не более 80 минут. При тестировании фиксируются: с помощью средств видеозаписи – вся процедура проведения тестирования, с помощью средств аудиозаписи – устные ответы тестирующихся. </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Устанавливаются следующие уровни знания русского языка: а) достаточный для освоения образовательных программ; б) недостаточный для освоения образовательных программ.</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В день проведения тестирования до его начала проводится  инструктаж тестирующихся, информирование их о процедуре и форме проведения тестирования, продолжительности тестирования. При проведении тестирования иностранному гражданину запрещается: а) пользоваться подсказками работников тестирующей организации, а также иностранных граждан, проходящих тестирование; б) 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 Нарушивший эти требования иностранный гражданин считается не прошедшим тестирование, результаты тестирования аннулируются.                         </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Сведения о результатах тестирования передаются тестирующей организацией в школу, в которую родители подали заявление о приеме на обучение, в течение 3 рабочих дней со дня прохождения тестирования для принятия решен</w:t>
      </w:r>
      <w:r>
        <w:rPr>
          <w:rFonts w:ascii="Times New Roman" w:hAnsi="Times New Roman" w:cs="Times New Roman"/>
          <w:sz w:val="28"/>
          <w:szCs w:val="28"/>
        </w:rPr>
        <w:t xml:space="preserve">ия о приеме (отказе в приеме) в  </w:t>
      </w:r>
      <w:r w:rsidRPr="00BF1F34">
        <w:rPr>
          <w:rFonts w:ascii="Times New Roman" w:hAnsi="Times New Roman" w:cs="Times New Roman"/>
          <w:sz w:val="28"/>
          <w:szCs w:val="28"/>
        </w:rPr>
        <w:t>школу.                                                                                                                </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В Приложении к приказу определены требования к уровню знания русского языка, достаточному для освоения общеобразовательных программ для каждого класса.           </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Уровень знания  русского языка определяется следующими умениями: </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Слушание (например, понимать прослушанный текст); </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Говорение (например, устно составлять текст, пересказывать прослушанный текст, участвовать в диалоге и т.д.); </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Чтение (читать вслух текст и понимать прочитанное); </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lastRenderedPageBreak/>
        <w:t>Письмо (например, правильно списывать, составлять текст из предложений, частей текста и т.д.); </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Лексика. Грамматика  (в частности, знать последовательность букв русского алфавита, правильно употреблять имена существительные, части речи, подбирать к предложенным словам синонимы, антонимы и т.д.). С каждым классом требования к перечисленным навыкам усложняются (</w:t>
      </w:r>
      <w:hyperlink r:id="rId4" w:history="1">
        <w:r w:rsidRPr="00BF1F34">
          <w:rPr>
            <w:rStyle w:val="a3"/>
            <w:rFonts w:ascii="Times New Roman" w:hAnsi="Times New Roman" w:cs="Times New Roman"/>
            <w:sz w:val="28"/>
            <w:szCs w:val="28"/>
          </w:rPr>
          <w:t>подробности в приложении к приказу №170 от 4.03.2025</w:t>
        </w:r>
      </w:hyperlink>
      <w:r w:rsidRPr="00BF1F34">
        <w:rPr>
          <w:rFonts w:ascii="Times New Roman" w:hAnsi="Times New Roman" w:cs="Times New Roman"/>
          <w:sz w:val="28"/>
          <w:szCs w:val="28"/>
        </w:rPr>
        <w:t>).</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            В соответствии с Порядком тестирования, иностранному гражданину, не прошедшему успешно тестирование, школой, в которую подано заявление о приеме на обучение, предлагается пройти  дополнительное обучение русскому языку. После  дополнительного обучения он вправе повторно пройти тестирование, но  не ранее чем через 3 месяца после неудачного тестирования,  по иному варианту диагностических материалов согласно расписанию проведения тестирования.</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 xml:space="preserve">              С целью разрешения спорных вопросов, возникающих при оценивании результатов тестирования, создаются апелляционные комиссии, куда иностранный гражданин может обратиться по вопросам нарушения настоящего Порядка, а также несогласия с выставленными баллами в </w:t>
      </w:r>
      <w:r>
        <w:rPr>
          <w:rFonts w:ascii="Times New Roman" w:hAnsi="Times New Roman" w:cs="Times New Roman"/>
          <w:sz w:val="28"/>
          <w:szCs w:val="28"/>
        </w:rPr>
        <w:t xml:space="preserve">Министерство общего и профессионального образования Ростовской области </w:t>
      </w:r>
      <w:r w:rsidRPr="00BF1F34">
        <w:rPr>
          <w:rFonts w:ascii="Times New Roman" w:hAnsi="Times New Roman" w:cs="Times New Roman"/>
          <w:sz w:val="28"/>
          <w:szCs w:val="28"/>
        </w:rPr>
        <w:t xml:space="preserve"> (</w:t>
      </w:r>
      <w:hyperlink r:id="rId5" w:history="1">
        <w:r>
          <w:rPr>
            <w:rStyle w:val="a3"/>
            <w:rFonts w:ascii="Times New Roman" w:hAnsi="Times New Roman" w:cs="Times New Roman"/>
            <w:sz w:val="28"/>
            <w:szCs w:val="28"/>
          </w:rPr>
          <w:t>Приказ №317 от  25</w:t>
        </w:r>
        <w:r w:rsidRPr="00BF1F34">
          <w:rPr>
            <w:rStyle w:val="a3"/>
            <w:rFonts w:ascii="Times New Roman" w:hAnsi="Times New Roman" w:cs="Times New Roman"/>
            <w:sz w:val="28"/>
            <w:szCs w:val="28"/>
          </w:rPr>
          <w:t>.03.2025</w:t>
        </w:r>
      </w:hyperlink>
      <w:r w:rsidRPr="00BF1F34">
        <w:rPr>
          <w:rFonts w:ascii="Times New Roman" w:hAnsi="Times New Roman" w:cs="Times New Roman"/>
          <w:sz w:val="28"/>
          <w:szCs w:val="28"/>
        </w:rPr>
        <w:t>).</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С демонстрационными вариантами диагностических работ, включающими описание структуры работы для каждого класса, критерии оценивания заданий, соответствие минимального количества баллов баллам, выставленным по всем критериям оценивания, можно ознакомиться на сайте Федерального института педагогических измерений (ФИПИ).</w:t>
      </w:r>
    </w:p>
    <w:p w:rsidR="00BA11E5" w:rsidRPr="00BF1F34" w:rsidRDefault="00BA11E5" w:rsidP="00BA11E5">
      <w:pPr>
        <w:rPr>
          <w:rFonts w:ascii="Times New Roman" w:hAnsi="Times New Roman" w:cs="Times New Roman"/>
          <w:sz w:val="28"/>
          <w:szCs w:val="28"/>
        </w:rPr>
      </w:pPr>
      <w:r w:rsidRPr="00BF1F34">
        <w:rPr>
          <w:rFonts w:ascii="Times New Roman" w:hAnsi="Times New Roman" w:cs="Times New Roman"/>
          <w:sz w:val="28"/>
          <w:szCs w:val="28"/>
        </w:rPr>
        <w:t>Изучить открытый банк заданий  можно по ссылке </w:t>
      </w:r>
      <w:hyperlink r:id="rId6" w:history="1">
        <w:r w:rsidRPr="00BF1F34">
          <w:rPr>
            <w:rStyle w:val="a3"/>
            <w:rFonts w:ascii="Times New Roman" w:hAnsi="Times New Roman" w:cs="Times New Roman"/>
            <w:sz w:val="28"/>
            <w:szCs w:val="28"/>
          </w:rPr>
          <w:t>https://fipi.ru/inostr-exam</w:t>
        </w:r>
      </w:hyperlink>
      <w:r w:rsidRPr="00BF1F34">
        <w:rPr>
          <w:rFonts w:ascii="Times New Roman" w:hAnsi="Times New Roman" w:cs="Times New Roman"/>
          <w:sz w:val="28"/>
          <w:szCs w:val="28"/>
        </w:rPr>
        <w:t> </w:t>
      </w:r>
    </w:p>
    <w:p w:rsidR="000D7191" w:rsidRDefault="000D7191"/>
    <w:sectPr w:rsidR="000D71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BA11E5"/>
    <w:rsid w:val="000D7191"/>
    <w:rsid w:val="00BA1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1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pi.ru/inostr-exam" TargetMode="External"/><Relationship Id="rId5" Type="http://schemas.openxmlformats.org/officeDocument/2006/relationships/hyperlink" Target="https://mon.alania.gov.ru/sites/mon/files/media/documents/files/2025-03/216.pdf" TargetMode="External"/><Relationship Id="rId4" Type="http://schemas.openxmlformats.org/officeDocument/2006/relationships/hyperlink" Target="https://www.uoardon.ru/images/1_Prikaz_o_testirovanii_na_znanie_russkogo_yazyk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Class37</dc:creator>
  <cp:keywords/>
  <dc:description/>
  <cp:lastModifiedBy>Class37</cp:lastModifiedBy>
  <cp:revision>2</cp:revision>
  <dcterms:created xsi:type="dcterms:W3CDTF">2025-04-14T08:13:00Z</dcterms:created>
  <dcterms:modified xsi:type="dcterms:W3CDTF">2025-04-14T08:13:00Z</dcterms:modified>
</cp:coreProperties>
</file>